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E3BE9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Памятка и критерии самооценки для компаний – субъектов малого и</w:t>
      </w:r>
    </w:p>
    <w:p w14:paraId="328D2732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среднего предпринимательства</w:t>
      </w:r>
    </w:p>
    <w:p w14:paraId="6C2582ED" w14:textId="10B2FCC9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SymbolMT" w:eastAsia="SymbolMT" w:hAnsi="TimesNewRomanPS-BoldMT" w:cs="SymbolMT" w:hint="eastAsia"/>
          <w:color w:val="000000"/>
          <w:sz w:val="28"/>
          <w:szCs w:val="28"/>
        </w:rPr>
        <w:t>*</w:t>
      </w:r>
      <w:r>
        <w:rPr>
          <w:rFonts w:ascii="SymbolMT" w:eastAsia="SymbolMT" w:hAnsi="TimesNewRomanPS-BoldMT" w:cs="Symbol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Памятка и критерии самооценки для компаний представляют собой</w:t>
      </w:r>
    </w:p>
    <w:p w14:paraId="761CAF29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инструмент для проведения первичной самооценки компаниями –</w:t>
      </w:r>
    </w:p>
    <w:p w14:paraId="4578BBD8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субъектами малого и среднего предпринимательства (далее – Критерии</w:t>
      </w:r>
    </w:p>
    <w:p w14:paraId="43CB225D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самооценки, МСП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2F21BE8" w14:textId="19684012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SymbolMT" w:eastAsia="SymbolMT" w:hAnsi="TimesNewRomanPS-BoldMT" w:cs="SymbolMT" w:hint="eastAsia"/>
          <w:color w:val="000000"/>
          <w:sz w:val="28"/>
          <w:szCs w:val="28"/>
        </w:rPr>
        <w:t>*</w:t>
      </w:r>
      <w:r>
        <w:rPr>
          <w:rFonts w:ascii="SymbolMT" w:eastAsia="SymbolMT" w:hAnsi="TimesNewRomanPS-BoldMT" w:cs="Symbol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Самооценка компанией является первым этапом и не гарантирует выход</w:t>
      </w:r>
    </w:p>
    <w:p w14:paraId="7D25701D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компаний на фондовый рынок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4B0AC3" w14:textId="640EABAC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MT" w:eastAsia="SymbolMT" w:hAnsi="TimesNewRomanPS-BoldMT" w:cs="SymbolMT" w:hint="eastAsia"/>
          <w:color w:val="000000"/>
          <w:sz w:val="28"/>
          <w:szCs w:val="28"/>
        </w:rPr>
        <w:t>*</w:t>
      </w:r>
      <w:r>
        <w:rPr>
          <w:rFonts w:ascii="SymbolMT" w:eastAsia="SymbolMT" w:hAnsi="TimesNewRomanPS-BoldMT" w:cs="Symbol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Компаниям рекомендуется осуществлять предварительную самооценку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9E8A8FD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изложенную в разделе «Критерии самооценки компаний».</w:t>
      </w:r>
    </w:p>
    <w:p w14:paraId="6DA7DD0E" w14:textId="31562EC4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SymbolMT" w:eastAsia="SymbolMT" w:hAnsi="TimesNewRomanPS-BoldMT" w:cs="SymbolMT" w:hint="eastAsia"/>
          <w:color w:val="000000"/>
          <w:sz w:val="28"/>
          <w:szCs w:val="28"/>
        </w:rPr>
        <w:t>*</w:t>
      </w:r>
      <w:r>
        <w:rPr>
          <w:rFonts w:ascii="SymbolMT" w:eastAsia="SymbolMT" w:hAnsi="TimesNewRomanPS-BoldMT" w:cs="Symbol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случае соответствия компании критериям самооценки, компании</w:t>
      </w:r>
    </w:p>
    <w:p w14:paraId="5BD858B2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рекомендуется обратиться для консультирования к одному из брокеров –</w:t>
      </w:r>
    </w:p>
    <w:p w14:paraId="15CF9330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организаторов размещения облигаций. Список брокеров можно найти на</w:t>
      </w:r>
    </w:p>
    <w:p w14:paraId="574E48D7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14D46FB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Банка России </w:t>
      </w:r>
      <w:r>
        <w:rPr>
          <w:rFonts w:ascii="Times New Roman" w:hAnsi="Times New Roman" w:cs="Times New Roman"/>
          <w:color w:val="0563C2"/>
          <w:sz w:val="28"/>
          <w:szCs w:val="28"/>
        </w:rPr>
        <w:t>http://www.cbr.ru/finmarket/registries/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CA8F415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СРО «Национальная финансовая ассоциация» </w:t>
      </w:r>
      <w:r>
        <w:rPr>
          <w:rFonts w:ascii="Times New Roman" w:hAnsi="Times New Roman" w:cs="Times New Roman"/>
          <w:color w:val="0563C2"/>
          <w:sz w:val="28"/>
          <w:szCs w:val="28"/>
        </w:rPr>
        <w:t>new.nfa.ru</w:t>
      </w:r>
      <w:r>
        <w:rPr>
          <w:rFonts w:ascii="Times New Roman" w:hAnsi="Times New Roman" w:cs="Times New Roman"/>
          <w:color w:val="0563C2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8A8AEDC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СРО «Национальная ассоциация участников фондового рынка»</w:t>
      </w:r>
    </w:p>
    <w:p w14:paraId="3A48F09C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563C2"/>
          <w:sz w:val="28"/>
          <w:szCs w:val="28"/>
        </w:rPr>
        <w:t>https:/naufor.ru</w:t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B435D7A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Также можно обратиться напрямую на биржу, как торговую площадку,</w:t>
      </w:r>
    </w:p>
    <w:p w14:paraId="0265CBC5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организующую размещение и торги облигациями:</w:t>
      </w:r>
    </w:p>
    <w:p w14:paraId="1646EBC2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ПАО Московская Биржа </w:t>
      </w:r>
      <w:r>
        <w:rPr>
          <w:rFonts w:ascii="Times New Roman" w:hAnsi="Times New Roman" w:cs="Times New Roman"/>
          <w:color w:val="0563C2"/>
          <w:sz w:val="28"/>
          <w:szCs w:val="28"/>
        </w:rPr>
        <w:t>rost@moex.com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9CF24E1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ПАО «Санкт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Петербургская биржа» тел. </w:t>
      </w:r>
      <w:r>
        <w:rPr>
          <w:rFonts w:ascii="Times New Roman" w:hAnsi="Times New Roman" w:cs="Times New Roman"/>
          <w:color w:val="000000"/>
          <w:sz w:val="28"/>
          <w:szCs w:val="28"/>
        </w:rPr>
        <w:t>+7 (495) 899-01-70-70.</w:t>
      </w:r>
    </w:p>
    <w:p w14:paraId="6CF9C4FA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5AC6AD72" w14:textId="221A60CF" w:rsidR="008B4D4C" w:rsidRDefault="008B4D4C" w:rsidP="008B4D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Критерии самооценки компаний</w:t>
      </w:r>
    </w:p>
    <w:p w14:paraId="69009C7E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76BD267C" w14:textId="70A4DD12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Компания является субъектом МСП, что подтверждается</w:t>
      </w:r>
    </w:p>
    <w:p w14:paraId="517A663F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наличием сведений о ней в едином реестре субъектов малого и среднего</w:t>
      </w:r>
    </w:p>
    <w:p w14:paraId="5FB15AD2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предпринимательства </w:t>
      </w:r>
      <w:r>
        <w:rPr>
          <w:rFonts w:ascii="Times New Roman" w:hAnsi="Times New Roman" w:cs="Times New Roman"/>
          <w:color w:val="0563C2"/>
          <w:sz w:val="28"/>
          <w:szCs w:val="28"/>
        </w:rPr>
        <w:t xml:space="preserve">https://rmsp.nalog.ru/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 последнюю доступную дату.</w:t>
      </w:r>
    </w:p>
    <w:p w14:paraId="31F6259F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видах деятельности компании отсутствуют такие виды</w:t>
      </w:r>
    </w:p>
    <w:p w14:paraId="4B0E1DDA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деятельности, как производство и (или) реализация подакцизных товаров;</w:t>
      </w:r>
    </w:p>
    <w:p w14:paraId="779C0CE8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добыча и (или) реализация полезных ископаемых, за исключением</w:t>
      </w:r>
    </w:p>
    <w:p w14:paraId="38A822E2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общераспространенных полезных ископаемых. Компания не является:</w:t>
      </w:r>
    </w:p>
    <w:p w14:paraId="254F02A8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кредитной организацией, страховой организацией и микрофинансовой</w:t>
      </w:r>
    </w:p>
    <w:p w14:paraId="6325B69A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организацией (за исключением потребительских кооперативов),</w:t>
      </w:r>
    </w:p>
    <w:p w14:paraId="38DB2E67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инвестиционным фондом, негосударственным пенсионным фондом,</w:t>
      </w:r>
    </w:p>
    <w:p w14:paraId="4B8FF3F1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профессиональным участником рынка ценных бумаг, ломбардом; участником</w:t>
      </w:r>
    </w:p>
    <w:p w14:paraId="6C8E4C2D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соглашений о разделе продукции; организацией, осуществляющей</w:t>
      </w:r>
    </w:p>
    <w:p w14:paraId="2A0D3C35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предпринимательскую деятельность в сфере игорного бизнеса.</w:t>
      </w:r>
    </w:p>
    <w:p w14:paraId="58CB796C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Срок «жизни» компании составляет не менее 3 лет. Параметр</w:t>
      </w:r>
    </w:p>
    <w:p w14:paraId="10FDF89B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проверяется по дате регистрации компании (дату можно проверить в</w:t>
      </w:r>
    </w:p>
    <w:p w14:paraId="7A371A03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учредительных документах, либо в выписке из единого государственного</w:t>
      </w:r>
    </w:p>
    <w:p w14:paraId="2EEDDEC6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реестра юридических лиц (ЕГРЮЛ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563C2"/>
          <w:sz w:val="28"/>
          <w:szCs w:val="28"/>
        </w:rPr>
        <w:t>https://egrul.nalog.ru/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76882B2B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Компания не находится в состоянии ликвидации или</w:t>
      </w:r>
    </w:p>
    <w:p w14:paraId="60ECF745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реорганизации. Проверку параметра можно осуществить с помощью сервиса</w:t>
      </w:r>
    </w:p>
    <w:p w14:paraId="7DD70C92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Федеральной налоговой службы «Сообщения юридических лиц,</w:t>
      </w:r>
    </w:p>
    <w:p w14:paraId="3E0A3C91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опубликованные в журнале «Вестник государственной регистрации» по</w:t>
      </w:r>
    </w:p>
    <w:p w14:paraId="29C26683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color w:val="0563C2"/>
          <w:sz w:val="26"/>
          <w:szCs w:val="26"/>
        </w:rPr>
        <w:t>https://www.vestnik-gosreg.ru/publ/vgr</w:t>
      </w:r>
    </w:p>
    <w:p w14:paraId="21E36F48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 компании отсутствует задолженность по уплате налогов.</w:t>
      </w:r>
    </w:p>
    <w:p w14:paraId="2D30DFC5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Проверку параметра можно осуществить с помощью сервиса Федеральной</w:t>
      </w:r>
    </w:p>
    <w:p w14:paraId="47054E66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налоговой службы: </w:t>
      </w:r>
      <w:r>
        <w:rPr>
          <w:rFonts w:ascii="Times New Roman" w:hAnsi="Times New Roman" w:cs="Times New Roman"/>
          <w:color w:val="0563C2"/>
          <w:sz w:val="26"/>
          <w:szCs w:val="26"/>
        </w:rPr>
        <w:t>https://service.nalog.ru/zd.do</w:t>
      </w:r>
    </w:p>
    <w:p w14:paraId="319D83FC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Руководители компании не дисквалифицированы, адрес компании</w:t>
      </w:r>
    </w:p>
    <w:p w14:paraId="02DD27BA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 фигурирует в адресах массовой регистрации компаний. Проверку</w:t>
      </w:r>
    </w:p>
    <w:p w14:paraId="7949C17D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параметра можно осуществить с помощью сервиса Федеральной налоговой</w:t>
      </w:r>
    </w:p>
    <w:p w14:paraId="59A4BE58" w14:textId="7A1E3E20" w:rsidR="008B4D4C" w:rsidRP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службы «Прозрачный бизнес»: </w:t>
      </w:r>
      <w:r>
        <w:rPr>
          <w:rFonts w:ascii="Times New Roman" w:hAnsi="Times New Roman" w:cs="Times New Roman"/>
          <w:color w:val="0563C2"/>
          <w:sz w:val="26"/>
          <w:szCs w:val="26"/>
        </w:rPr>
        <w:t>https://pb.nalog.ru</w:t>
      </w:r>
    </w:p>
    <w:p w14:paraId="20271355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Компания не является зависимой компанией государственной</w:t>
      </w:r>
    </w:p>
    <w:p w14:paraId="51E9FC2C" w14:textId="0A3B12C8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компании. Параметр подтверждается учредительными документами, сведения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можно проверить сервисом единого государственного реестра юридических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color w:val="0563C2"/>
          <w:sz w:val="26"/>
          <w:szCs w:val="26"/>
        </w:rPr>
        <w:t>http://egrul.nalog.ru/index.html</w:t>
      </w:r>
    </w:p>
    <w:p w14:paraId="187C0A0A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 компании отсутствует отрицательная кредитная история, в том</w:t>
      </w:r>
    </w:p>
    <w:p w14:paraId="6999EFB5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числе, нет просроченных платежей по кредитам свыше 30 дней в течение</w:t>
      </w:r>
    </w:p>
    <w:p w14:paraId="518DD6EF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последних 180 календарных дней. Проверяется запросом в Бюро кредитных</w:t>
      </w:r>
    </w:p>
    <w:p w14:paraId="497B630B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историй.</w:t>
      </w:r>
    </w:p>
    <w:p w14:paraId="1D937D22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9. Выручка за предыдущий календарный год составляет от 120 млн.</w:t>
      </w:r>
    </w:p>
    <w:p w14:paraId="3E34368D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рублей до 2 млрд. рублей. Выручка определяется по форме «Отчет</w:t>
      </w:r>
    </w:p>
    <w:p w14:paraId="741D97B6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 финансовых результатах» за последний календарный год, строка 2110.</w:t>
      </w:r>
    </w:p>
    <w:p w14:paraId="2E520ED0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10. Средний темп прироста выручки за последние три года составляет</w:t>
      </w:r>
    </w:p>
    <w:p w14:paraId="1D0F1868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 менее 10%. Средний темп прироста выручки (СТПВ) за последние три года</w:t>
      </w:r>
    </w:p>
    <w:p w14:paraId="67281543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считается по формуле:</w:t>
      </w:r>
    </w:p>
    <w:p w14:paraId="5DAF30EE" w14:textId="4BB251CD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СТПВ = (ПВ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3 </w:t>
      </w:r>
      <w:r>
        <w:rPr>
          <w:rFonts w:ascii="TimesNewRomanPSMT" w:hAnsi="TimesNewRomanPSMT" w:cs="TimesNewRomanPSMT"/>
          <w:color w:val="000000"/>
          <w:sz w:val="28"/>
          <w:szCs w:val="28"/>
        </w:rPr>
        <w:t>/ ПВ</w:t>
      </w:r>
      <w:r>
        <w:rPr>
          <w:rFonts w:ascii="TimesNewRomanPSMT" w:hAnsi="TimesNewRomanPSMT" w:cs="TimesNewRomanPSMT"/>
          <w:color w:val="000000"/>
          <w:sz w:val="18"/>
          <w:szCs w:val="18"/>
        </w:rPr>
        <w:t>1</w:t>
      </w:r>
      <w:r>
        <w:rPr>
          <w:rFonts w:ascii="TimesNewRomanPSMT" w:hAnsi="TimesNewRomanPSMT" w:cs="TimesNewRomanPSMT"/>
          <w:color w:val="000000"/>
          <w:sz w:val="28"/>
          <w:szCs w:val="28"/>
        </w:rPr>
        <w:t>)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1/3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 1, где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ПВ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1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 прирост выручки за первый год из трех анализируемых, например,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 2016 год, ПВ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3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 прирост выручки за последний год из трех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анализируемых, например, за 2018 год.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Прирост выручки определяется по форме «Отчет о финансовых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8"/>
          <w:szCs w:val="28"/>
        </w:rPr>
        <w:t>результатах», строка 2110.</w:t>
      </w:r>
    </w:p>
    <w:p w14:paraId="24F5004A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11. Безубыточная деятельность в течение последних 3 лет. Чистая</w:t>
      </w:r>
    </w:p>
    <w:p w14:paraId="6618EAF3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прибыль (убыток) определяется по форме «Отчет о финансовых результатах»</w:t>
      </w:r>
    </w:p>
    <w:p w14:paraId="64FA64D6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за последние три года, строка 2400. Значение в строке 2400 должно быть</w:t>
      </w:r>
    </w:p>
    <w:p w14:paraId="74FB498B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положительным – отражаться без скобок.</w:t>
      </w:r>
    </w:p>
    <w:p w14:paraId="67415799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12. Рекомендуемая рентабельность бизнеса не менее 15% (за</w:t>
      </w:r>
    </w:p>
    <w:p w14:paraId="50CA7D65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последний год и средняя за 3 последних года). Рентабельность бизнеса</w:t>
      </w:r>
    </w:p>
    <w:p w14:paraId="03396C5A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рассчитывается по формуле:</w:t>
      </w:r>
    </w:p>
    <w:p w14:paraId="595A50B5" w14:textId="57D8C7C9" w:rsidR="008B4D4C" w:rsidRP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Рентабельность = (Прибыль до налогообложения / Выручка) * 100%, где</w:t>
      </w:r>
    </w:p>
    <w:p w14:paraId="737BCEC6" w14:textId="7883C08A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Прибыль до налогообложения – строка 2300 формы «Отчет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 финансовых результатах» за календарный год,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Выручка – строка 2110 формы «Отчет о финансовых результатах»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 календарный год.</w:t>
      </w:r>
    </w:p>
    <w:p w14:paraId="6FB8819B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13. Планируемый объем выпуска облигаций – от 100 млн. до 1 млрд</w:t>
      </w:r>
    </w:p>
    <w:p w14:paraId="145104EF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рублей.</w:t>
      </w:r>
    </w:p>
    <w:p w14:paraId="0336EE6A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14. Срок привлечения средств – не менее 1 года и не более 3 лет.</w:t>
      </w:r>
    </w:p>
    <w:p w14:paraId="6D6504B7" w14:textId="77777777" w:rsidR="008B4D4C" w:rsidRDefault="008B4D4C" w:rsidP="008B4D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15. Объем планируемого годового погашения облигаций (основной</w:t>
      </w:r>
    </w:p>
    <w:p w14:paraId="4ABD6B4F" w14:textId="1BC2FAC0" w:rsidR="00FE5463" w:rsidRDefault="008B4D4C" w:rsidP="008B4D4C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color w:val="000000"/>
          <w:sz w:val="28"/>
          <w:szCs w:val="28"/>
        </w:rPr>
        <w:t>долг и процентные платежи) должен быть меньше годовой прибыли (средней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 последние три года, строка 2400).</w:t>
      </w:r>
    </w:p>
    <w:sectPr w:rsidR="00FE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41"/>
    <w:rsid w:val="008B4D4C"/>
    <w:rsid w:val="00C97741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6C26"/>
  <w15:chartTrackingRefBased/>
  <w15:docId w15:val="{C45B7AD9-A82F-4B7A-94D7-C14CB70A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2019-06-24T07:32:00Z</dcterms:created>
  <dcterms:modified xsi:type="dcterms:W3CDTF">2019-06-24T07:40:00Z</dcterms:modified>
</cp:coreProperties>
</file>